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2A5" w:rsidRDefault="00A072A5" w:rsidP="00A072A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Thomas WHARROM</w:t>
      </w:r>
      <w:r>
        <w:rPr>
          <w:rStyle w:val="SubtleEmphasis"/>
          <w:i w:val="0"/>
          <w:iCs w:val="0"/>
          <w:color w:val="auto"/>
        </w:rPr>
        <w:t xml:space="preserve">       (fl.1427)</w:t>
      </w:r>
    </w:p>
    <w:p w:rsidR="00A072A5" w:rsidRDefault="00A072A5" w:rsidP="00A072A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A072A5" w:rsidRDefault="00A072A5" w:rsidP="00A072A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A072A5" w:rsidRDefault="00A072A5" w:rsidP="00A072A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1 Aug.1427</w:t>
      </w:r>
      <w:r>
        <w:rPr>
          <w:rStyle w:val="SubtleEmphasis"/>
          <w:i w:val="0"/>
          <w:iCs w:val="0"/>
          <w:color w:val="auto"/>
        </w:rPr>
        <w:tab/>
        <w:t>He was a witness when Sir Edmund Hastyngs(q.v.) quitclaimed all his lands and tenements in Marske, Redcar and Uplethom in Cleveland, Yorkshire, to Sir William Neville, Lord Fauconberg.    (Yorkshire Deeds vol.III p.86)</w:t>
      </w:r>
    </w:p>
    <w:p w:rsidR="00A072A5" w:rsidRDefault="00A072A5" w:rsidP="00A072A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A072A5" w:rsidRDefault="00A072A5" w:rsidP="00A072A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A072A5" w:rsidRDefault="00A072A5" w:rsidP="00A072A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7 October 2012</w:t>
      </w:r>
    </w:p>
    <w:p w:rsidR="00BA4020" w:rsidRPr="00186E49" w:rsidRDefault="00A072A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2A5" w:rsidRDefault="00A072A5" w:rsidP="00552EBA">
      <w:r>
        <w:separator/>
      </w:r>
    </w:p>
  </w:endnote>
  <w:endnote w:type="continuationSeparator" w:id="0">
    <w:p w:rsidR="00A072A5" w:rsidRDefault="00A072A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072A5">
      <w:rPr>
        <w:noProof/>
      </w:rPr>
      <w:t>25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2A5" w:rsidRDefault="00A072A5" w:rsidP="00552EBA">
      <w:r>
        <w:separator/>
      </w:r>
    </w:p>
  </w:footnote>
  <w:footnote w:type="continuationSeparator" w:id="0">
    <w:p w:rsidR="00A072A5" w:rsidRDefault="00A072A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072A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A072A5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A072A5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2012-10-25T19:56:00Z</dcterms:created>
  <dcterms:modified xsi:type="dcterms:W3CDTF">2012-10-25T19:57:00Z</dcterms:modified>
</cp:coreProperties>
</file>