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F99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Elena THURSTAN</w:t>
      </w:r>
      <w:r>
        <w:rPr>
          <w:rFonts w:ascii="Times New Roman" w:hAnsi="Times New Roman" w:cs="Times New Roman"/>
          <w:sz w:val="24"/>
          <w:szCs w:val="24"/>
        </w:rPr>
        <w:t xml:space="preserve">     (d.ca.1484)</w:t>
      </w:r>
    </w:p>
    <w:p w:rsidR="00231807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231807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1807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1807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Probate of her Will.</w:t>
      </w:r>
    </w:p>
    <w:p w:rsidR="00231807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2A7F1E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www.kentarchaeology.org.uk/Research/Pub/KRV/09/NT/195.htm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31807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1807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1807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1807" w:rsidRPr="00231807" w:rsidRDefault="00231807" w:rsidP="002318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2011</w:t>
      </w:r>
    </w:p>
    <w:sectPr w:rsidR="00231807" w:rsidRPr="00231807" w:rsidSect="00C24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1807"/>
    <w:rsid w:val="00231807"/>
    <w:rsid w:val="00C24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180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1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2011-09-05T18:45:00Z</dcterms:created>
  <dcterms:modified xsi:type="dcterms:W3CDTF">2011-09-05T18:48:00Z</dcterms:modified>
</cp:coreProperties>
</file>