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9032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THURKELBY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d.1402-3)</w:t>
      </w:r>
    </w:p>
    <w:p w14:paraId="519589E2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70D77405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148AEA9E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30575A2F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William, mason.   (W.Y.R. p.169)</w:t>
      </w:r>
    </w:p>
    <w:p w14:paraId="222B8C0D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7BA8936E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0D2CD275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Dec.1402</w:t>
      </w:r>
      <w:r>
        <w:rPr>
          <w:rFonts w:eastAsia="Times New Roman" w:cs="Times New Roman"/>
          <w:szCs w:val="24"/>
        </w:rPr>
        <w:tab/>
        <w:t>She made her Will.   (ibid.)</w:t>
      </w:r>
    </w:p>
    <w:p w14:paraId="0B9290C6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Jan.1403</w:t>
      </w:r>
      <w:r>
        <w:rPr>
          <w:rFonts w:eastAsia="Times New Roman" w:cs="Times New Roman"/>
          <w:szCs w:val="24"/>
        </w:rPr>
        <w:tab/>
        <w:t>Probate of her Will.   (ibid.)</w:t>
      </w:r>
    </w:p>
    <w:p w14:paraId="10C8AD3C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7DAA9E33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</w:p>
    <w:p w14:paraId="15840EB4" w14:textId="77777777" w:rsidR="003D49D3" w:rsidRDefault="003D49D3" w:rsidP="003D49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7112BC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C4A1C" w14:textId="77777777" w:rsidR="003D49D3" w:rsidRDefault="003D49D3" w:rsidP="009139A6">
      <w:r>
        <w:separator/>
      </w:r>
    </w:p>
  </w:endnote>
  <w:endnote w:type="continuationSeparator" w:id="0">
    <w:p w14:paraId="1926A3D5" w14:textId="77777777" w:rsidR="003D49D3" w:rsidRDefault="003D49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17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1D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91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FC0F4" w14:textId="77777777" w:rsidR="003D49D3" w:rsidRDefault="003D49D3" w:rsidP="009139A6">
      <w:r>
        <w:separator/>
      </w:r>
    </w:p>
  </w:footnote>
  <w:footnote w:type="continuationSeparator" w:id="0">
    <w:p w14:paraId="7E79410F" w14:textId="77777777" w:rsidR="003D49D3" w:rsidRDefault="003D49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F37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4B7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484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D3"/>
    <w:rsid w:val="000666E0"/>
    <w:rsid w:val="002510B7"/>
    <w:rsid w:val="003D49D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1D066"/>
  <w15:chartTrackingRefBased/>
  <w15:docId w15:val="{89264357-7A05-4C02-9729-27999AF8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2024-02-08T19:44:00Z</dcterms:created>
  <dcterms:modified xsi:type="dcterms:W3CDTF">2024-02-08T19:44:00Z</dcterms:modified>
</cp:coreProperties>
</file>