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83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STAUNDON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Staundon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 (C.L.W. p.393)</w:t>
      </w: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Feb.1409</w:t>
      </w:r>
      <w:r>
        <w:rPr>
          <w:rFonts w:ascii="Times New Roman" w:hAnsi="Times New Roman" w:cs="Times New Roman"/>
          <w:sz w:val="24"/>
          <w:szCs w:val="24"/>
        </w:rPr>
        <w:tab/>
        <w:t>Her father bequeathed her £200 if she attained the age of 14 years.</w:t>
      </w: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266" w:rsidRPr="00517266" w:rsidRDefault="00517266" w:rsidP="00517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2011</w:t>
      </w:r>
    </w:p>
    <w:sectPr w:rsidR="00517266" w:rsidRPr="00517266" w:rsidSect="008E7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7266"/>
    <w:rsid w:val="00517266"/>
    <w:rsid w:val="008E7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2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2011-09-06T21:04:00Z</dcterms:created>
  <dcterms:modified xsi:type="dcterms:W3CDTF">2011-09-06T21:08:00Z</dcterms:modified>
</cp:coreProperties>
</file>