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E14" w:rsidRDefault="00E06E14" w:rsidP="00E06E14">
      <w:pPr>
        <w:pStyle w:val="NoSpacing"/>
      </w:pPr>
      <w:r>
        <w:rPr>
          <w:u w:val="single"/>
        </w:rPr>
        <w:t>Richard PAUNTON</w:t>
      </w:r>
      <w:r>
        <w:t xml:space="preserve">    (fl.1465-6)</w:t>
      </w:r>
    </w:p>
    <w:p w:rsidR="00E06E14" w:rsidRDefault="00E06E14" w:rsidP="00E06E14">
      <w:pPr>
        <w:pStyle w:val="NoSpacing"/>
      </w:pPr>
    </w:p>
    <w:p w:rsidR="00E06E14" w:rsidRDefault="00E06E14" w:rsidP="00E06E14">
      <w:pPr>
        <w:pStyle w:val="NoSpacing"/>
      </w:pPr>
    </w:p>
    <w:p w:rsidR="00E06E14" w:rsidRDefault="00E06E14" w:rsidP="00E06E14">
      <w:pPr>
        <w:pStyle w:val="NoSpacing"/>
      </w:pPr>
      <w:r>
        <w:t>= Matilda(q.v.).   (</w:t>
      </w:r>
      <w:hyperlink r:id="rId6" w:history="1">
        <w:r w:rsidRPr="00BB0587">
          <w:rPr>
            <w:rStyle w:val="Hyperlink"/>
          </w:rPr>
          <w:t>www.british-history.ac.uk/report.aspx?compid=78826</w:t>
        </w:r>
      </w:hyperlink>
      <w:r>
        <w:t>)</w:t>
      </w:r>
    </w:p>
    <w:p w:rsidR="00E06E14" w:rsidRDefault="00E06E14" w:rsidP="00E06E14">
      <w:pPr>
        <w:pStyle w:val="NoSpacing"/>
      </w:pPr>
    </w:p>
    <w:p w:rsidR="00E06E14" w:rsidRDefault="00E06E14" w:rsidP="00E06E14">
      <w:pPr>
        <w:pStyle w:val="NoSpacing"/>
      </w:pPr>
    </w:p>
    <w:p w:rsidR="00E06E14" w:rsidRDefault="00E06E14" w:rsidP="00E06E14">
      <w:pPr>
        <w:pStyle w:val="NoSpacing"/>
      </w:pPr>
      <w:r>
        <w:t xml:space="preserve">         1465-6</w:t>
      </w:r>
      <w:r>
        <w:tab/>
        <w:t>Settlement of the action taken against them by George Neville, Archbishop</w:t>
      </w:r>
    </w:p>
    <w:p w:rsidR="00E06E14" w:rsidRDefault="00E06E14" w:rsidP="00E06E14">
      <w:pPr>
        <w:pStyle w:val="NoSpacing"/>
      </w:pPr>
      <w:r>
        <w:tab/>
      </w:r>
      <w:r>
        <w:tab/>
        <w:t>of York(q.v.), and others over premises in Harefield.  (ibid.)</w:t>
      </w:r>
    </w:p>
    <w:p w:rsidR="00E06E14" w:rsidRDefault="00E06E14" w:rsidP="00E06E14">
      <w:pPr>
        <w:pStyle w:val="NoSpacing"/>
      </w:pPr>
    </w:p>
    <w:p w:rsidR="00E06E14" w:rsidRDefault="00E06E14" w:rsidP="00E06E14">
      <w:pPr>
        <w:pStyle w:val="NoSpacing"/>
      </w:pPr>
    </w:p>
    <w:p w:rsidR="00E06E14" w:rsidRDefault="00E06E14" w:rsidP="00E06E14">
      <w:pPr>
        <w:pStyle w:val="NoSpacing"/>
      </w:pPr>
    </w:p>
    <w:p w:rsidR="00BA4020" w:rsidRPr="00E06E14" w:rsidRDefault="00E06E14" w:rsidP="00E06E14">
      <w:pPr>
        <w:pStyle w:val="NoSpacing"/>
      </w:pPr>
      <w:r>
        <w:t>28 August 2010</w:t>
      </w:r>
    </w:p>
    <w:sectPr w:rsidR="00BA4020" w:rsidRPr="00E06E14" w:rsidSect="007E5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E14" w:rsidRDefault="00E06E14" w:rsidP="00552EBA">
      <w:pPr>
        <w:spacing w:after="0" w:line="240" w:lineRule="auto"/>
      </w:pPr>
      <w:r>
        <w:separator/>
      </w:r>
    </w:p>
  </w:endnote>
  <w:endnote w:type="continuationSeparator" w:id="0">
    <w:p w:rsidR="00E06E14" w:rsidRDefault="00E06E1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6E14">
        <w:rPr>
          <w:noProof/>
        </w:rPr>
        <w:t>28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E14" w:rsidRDefault="00E06E14" w:rsidP="00552EBA">
      <w:pPr>
        <w:spacing w:after="0" w:line="240" w:lineRule="auto"/>
      </w:pPr>
      <w:r>
        <w:separator/>
      </w:r>
    </w:p>
  </w:footnote>
  <w:footnote w:type="continuationSeparator" w:id="0">
    <w:p w:rsidR="00E06E14" w:rsidRDefault="00E06E1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5209"/>
    <w:rsid w:val="00C33865"/>
    <w:rsid w:val="00D45842"/>
    <w:rsid w:val="00E06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6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2010-08-28T18:39:00Z</dcterms:created>
  <dcterms:modified xsi:type="dcterms:W3CDTF">2010-08-28T18:39:00Z</dcterms:modified>
</cp:coreProperties>
</file>