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536C" w:rsidRDefault="00C8536C" w:rsidP="00C8536C">
      <w:r>
        <w:rPr>
          <w:u w:val="single"/>
        </w:rPr>
        <w:t>John OLDE</w:t>
      </w:r>
      <w:r>
        <w:t xml:space="preserve">     (d.1501)</w:t>
      </w:r>
    </w:p>
    <w:p w:rsidR="00C8536C" w:rsidRDefault="00C8536C" w:rsidP="00C8536C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Yalding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C8536C" w:rsidRDefault="00C8536C" w:rsidP="00C8536C"/>
    <w:p w:rsidR="00C8536C" w:rsidRDefault="00C8536C" w:rsidP="00C8536C"/>
    <w:p w:rsidR="00C8536C" w:rsidRDefault="00C8536C" w:rsidP="00C8536C">
      <w:pPr>
        <w:ind w:left="720"/>
      </w:pPr>
      <w:r>
        <w:t>1501</w:t>
      </w:r>
      <w:r>
        <w:tab/>
        <w:t>Administration of his goods and possessions was granted.</w:t>
      </w:r>
    </w:p>
    <w:p w:rsidR="00C8536C" w:rsidRDefault="00C8536C" w:rsidP="00C8536C">
      <w:pPr>
        <w:ind w:left="1440"/>
      </w:pPr>
      <w:r w:rsidRPr="003A4346">
        <w:rPr>
          <w:sz w:val="22"/>
          <w:szCs w:val="22"/>
        </w:rPr>
        <w:t>(</w:t>
      </w:r>
      <w:hyperlink r:id="rId6" w:history="1">
        <w:r w:rsidRPr="00735150">
          <w:rPr>
            <w:rStyle w:val="Hyperlink"/>
            <w:sz w:val="22"/>
            <w:szCs w:val="22"/>
          </w:rPr>
          <w:t>www.kentarchaeology.org.uk/Research/Pub/KRV/09/NB/141.htm</w:t>
        </w:r>
      </w:hyperlink>
      <w:r>
        <w:rPr>
          <w:sz w:val="22"/>
          <w:szCs w:val="22"/>
        </w:rPr>
        <w:t>)</w:t>
      </w:r>
    </w:p>
    <w:p w:rsidR="00C8536C" w:rsidRDefault="00C8536C" w:rsidP="00C8536C"/>
    <w:p w:rsidR="00C8536C" w:rsidRDefault="00C8536C" w:rsidP="00C8536C"/>
    <w:p w:rsidR="00C8536C" w:rsidRDefault="00C8536C" w:rsidP="00C8536C"/>
    <w:p w:rsidR="00BA4020" w:rsidRDefault="00C8536C" w:rsidP="00C8536C">
      <w:r>
        <w:t>28 February 2011</w:t>
      </w:r>
    </w:p>
    <w:sectPr w:rsidR="00BA4020" w:rsidSect="00EC1DF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536C" w:rsidRDefault="00C8536C" w:rsidP="00552EBA">
      <w:r>
        <w:separator/>
      </w:r>
    </w:p>
  </w:endnote>
  <w:endnote w:type="continuationSeparator" w:id="0">
    <w:p w:rsidR="00C8536C" w:rsidRDefault="00C8536C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8536C">
        <w:rPr>
          <w:noProof/>
        </w:rPr>
        <w:t>05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536C" w:rsidRDefault="00C8536C" w:rsidP="00552EBA">
      <w:r>
        <w:separator/>
      </w:r>
    </w:p>
  </w:footnote>
  <w:footnote w:type="continuationSeparator" w:id="0">
    <w:p w:rsidR="00C8536C" w:rsidRDefault="00C8536C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C8536C"/>
    <w:rsid w:val="00D45842"/>
    <w:rsid w:val="00EC1D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536C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8536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entarchaeology.org.uk/Research/Pub/KRV/09/NB/141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228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2011-03-05T21:32:00Z</dcterms:created>
  <dcterms:modified xsi:type="dcterms:W3CDTF">2011-03-05T21:32:00Z</dcterms:modified>
</cp:coreProperties>
</file>