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43D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OGLE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fl.1470)</w:t>
      </w:r>
    </w:p>
    <w:p w:rsidR="00843D82" w:rsidRDefault="00843D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3D82" w:rsidRDefault="00843D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3D82" w:rsidRDefault="00843D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Owen Ogle(</w:t>
      </w:r>
      <w:proofErr w:type="gramStart"/>
      <w:r>
        <w:rPr>
          <w:rFonts w:ascii="Times New Roman" w:hAnsi="Times New Roman" w:cs="Times New Roman"/>
          <w:sz w:val="24"/>
          <w:szCs w:val="24"/>
        </w:rPr>
        <w:t>d.1486)(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and Eleanor Hilton(q.v.).  (Clay p.153)</w:t>
      </w:r>
    </w:p>
    <w:p w:rsidR="00843D82" w:rsidRDefault="00843D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Robert Clavering.  (ibid.)</w:t>
      </w:r>
    </w:p>
    <w:p w:rsidR="00843D82" w:rsidRDefault="00843D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3D82" w:rsidRDefault="00843D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3D82" w:rsidRPr="00843D82" w:rsidRDefault="00843D8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2015</w:t>
      </w:r>
      <w:bookmarkStart w:id="0" w:name="_GoBack"/>
      <w:bookmarkEnd w:id="0"/>
    </w:p>
    <w:sectPr w:rsidR="00843D82" w:rsidRPr="00843D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D82" w:rsidRDefault="00843D82" w:rsidP="00564E3C">
      <w:pPr>
        <w:spacing w:after="0" w:line="240" w:lineRule="auto"/>
      </w:pPr>
      <w:r>
        <w:separator/>
      </w:r>
    </w:p>
  </w:endnote>
  <w:endnote w:type="continuationSeparator" w:id="0">
    <w:p w:rsidR="00843D82" w:rsidRDefault="00843D8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43D82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D82" w:rsidRDefault="00843D82" w:rsidP="00564E3C">
      <w:pPr>
        <w:spacing w:after="0" w:line="240" w:lineRule="auto"/>
      </w:pPr>
      <w:r>
        <w:separator/>
      </w:r>
    </w:p>
  </w:footnote>
  <w:footnote w:type="continuationSeparator" w:id="0">
    <w:p w:rsidR="00843D82" w:rsidRDefault="00843D8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82"/>
    <w:rsid w:val="00372DC6"/>
    <w:rsid w:val="00564E3C"/>
    <w:rsid w:val="0064591D"/>
    <w:rsid w:val="00843D8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A25DD"/>
  <w15:chartTrackingRefBased/>
  <w15:docId w15:val="{E18C8269-4C7F-4D71-87A9-4039CA616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2015-10-13T10:02:00Z</dcterms:created>
  <dcterms:modified xsi:type="dcterms:W3CDTF">2015-10-13T10:04:00Z</dcterms:modified>
</cp:coreProperties>
</file>