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Sir William NEVILLE</w:t>
      </w:r>
      <w:r>
        <w:rPr>
          <w:rStyle w:val="SubtleEmphasis"/>
          <w:i w:val="0"/>
          <w:iCs w:val="0"/>
          <w:color w:val="auto"/>
        </w:rPr>
        <w:t xml:space="preserve">      (fl.1427)</w:t>
      </w: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Aug.1427</w:t>
      </w:r>
      <w:r>
        <w:rPr>
          <w:rStyle w:val="SubtleEmphasis"/>
          <w:i w:val="0"/>
          <w:iCs w:val="0"/>
          <w:color w:val="auto"/>
        </w:rPr>
        <w:tab/>
        <w:t>Sir Edmund Hastyngs(q.v.) quitclaimed all his lands and tenements in Marske, Redcar and Uplethom in Cleveland, Yorkshire, to him.</w:t>
      </w: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vol.III p.86)</w:t>
      </w: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71B05" w:rsidRDefault="00C71B05" w:rsidP="00C71B0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7 October 2012</w:t>
      </w:r>
    </w:p>
    <w:p w:rsidR="00BA4020" w:rsidRPr="00186E49" w:rsidRDefault="00C71B0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B05" w:rsidRDefault="00C71B05" w:rsidP="00552EBA">
      <w:r>
        <w:separator/>
      </w:r>
    </w:p>
  </w:endnote>
  <w:endnote w:type="continuationSeparator" w:id="0">
    <w:p w:rsidR="00C71B05" w:rsidRDefault="00C71B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1B05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B05" w:rsidRDefault="00C71B05" w:rsidP="00552EBA">
      <w:r>
        <w:separator/>
      </w:r>
    </w:p>
  </w:footnote>
  <w:footnote w:type="continuationSeparator" w:id="0">
    <w:p w:rsidR="00C71B05" w:rsidRDefault="00C71B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1B0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71B0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71B0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2012-10-25T19:53:00Z</dcterms:created>
  <dcterms:modified xsi:type="dcterms:W3CDTF">2012-10-25T19:53:00Z</dcterms:modified>
</cp:coreProperties>
</file>