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E542D" w:rsidP="00E71FC3">
      <w:pPr>
        <w:pStyle w:val="NoSpacing"/>
      </w:pPr>
      <w:r>
        <w:rPr>
          <w:u w:val="single"/>
        </w:rPr>
        <w:t>Ralph de NEVILLE</w:t>
      </w:r>
      <w:r>
        <w:t xml:space="preserve">      (b.ca.1407)</w:t>
      </w:r>
    </w:p>
    <w:p w:rsidR="00EE542D" w:rsidRDefault="00EE542D" w:rsidP="00E71FC3">
      <w:pPr>
        <w:pStyle w:val="NoSpacing"/>
      </w:pPr>
    </w:p>
    <w:p w:rsidR="00EE542D" w:rsidRDefault="00EE542D" w:rsidP="00E71FC3">
      <w:pPr>
        <w:pStyle w:val="NoSpacing"/>
      </w:pPr>
    </w:p>
    <w:p w:rsidR="00EE542D" w:rsidRDefault="00EE542D" w:rsidP="00E71FC3">
      <w:pPr>
        <w:pStyle w:val="NoSpacing"/>
      </w:pPr>
      <w:r>
        <w:t>Son of Sir John de Neville and Elizabeth, his wife,(q.v.).</w:t>
      </w:r>
    </w:p>
    <w:p w:rsidR="00EE542D" w:rsidRDefault="00EE542D" w:rsidP="00E71FC3">
      <w:pPr>
        <w:pStyle w:val="NoSpacing"/>
      </w:pPr>
      <w:r>
        <w:t>(www.inquisitionspostmortem.ac.uk  ref. eCIPM 22-144)</w:t>
      </w:r>
    </w:p>
    <w:p w:rsidR="00EE542D" w:rsidRDefault="00EE542D" w:rsidP="00E71FC3">
      <w:pPr>
        <w:pStyle w:val="NoSpacing"/>
      </w:pPr>
    </w:p>
    <w:p w:rsidR="00EE542D" w:rsidRDefault="00EE542D" w:rsidP="00E71FC3">
      <w:pPr>
        <w:pStyle w:val="NoSpacing"/>
      </w:pPr>
    </w:p>
    <w:p w:rsidR="00EE542D" w:rsidRDefault="00EE542D" w:rsidP="00E71FC3">
      <w:pPr>
        <w:pStyle w:val="NoSpacing"/>
      </w:pPr>
      <w:r>
        <w:t xml:space="preserve">  1 Jan.1423</w:t>
      </w:r>
      <w:r>
        <w:tab/>
        <w:t>His mother died, and he inherited her lands.   (ibid.)</w:t>
      </w:r>
    </w:p>
    <w:p w:rsidR="00EE542D" w:rsidRDefault="00EE542D" w:rsidP="00E71FC3">
      <w:pPr>
        <w:pStyle w:val="NoSpacing"/>
      </w:pPr>
      <w:r>
        <w:tab/>
      </w:r>
      <w:r>
        <w:tab/>
        <w:t>[the date may have been 3 January -see</w:t>
      </w:r>
    </w:p>
    <w:p w:rsidR="00EE542D" w:rsidRDefault="00EE542D" w:rsidP="00E71FC3">
      <w:pPr>
        <w:pStyle w:val="NoSpacing"/>
      </w:pPr>
      <w:r>
        <w:tab/>
      </w:r>
      <w:r>
        <w:tab/>
        <w:t>(www.inquisitionspostmortem.ac.uk  ref. eCIPM 22-144)]</w:t>
      </w:r>
    </w:p>
    <w:p w:rsidR="00EE542D" w:rsidRDefault="00EE542D" w:rsidP="00E71FC3">
      <w:pPr>
        <w:pStyle w:val="NoSpacing"/>
      </w:pPr>
    </w:p>
    <w:p w:rsidR="00EE542D" w:rsidRDefault="00EE542D" w:rsidP="00E71FC3">
      <w:pPr>
        <w:pStyle w:val="NoSpacing"/>
      </w:pPr>
    </w:p>
    <w:p w:rsidR="00EE542D" w:rsidRPr="00EE542D" w:rsidRDefault="00EE542D" w:rsidP="00E71FC3">
      <w:pPr>
        <w:pStyle w:val="NoSpacing"/>
      </w:pPr>
      <w:r>
        <w:t>13 March 2017</w:t>
      </w:r>
      <w:bookmarkStart w:id="0" w:name="_GoBack"/>
      <w:bookmarkEnd w:id="0"/>
    </w:p>
    <w:sectPr w:rsidR="00EE542D" w:rsidRPr="00EE54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42D" w:rsidRDefault="00EE542D" w:rsidP="00E71FC3">
      <w:pPr>
        <w:spacing w:after="0" w:line="240" w:lineRule="auto"/>
      </w:pPr>
      <w:r>
        <w:separator/>
      </w:r>
    </w:p>
  </w:endnote>
  <w:endnote w:type="continuationSeparator" w:id="0">
    <w:p w:rsidR="00EE542D" w:rsidRDefault="00EE54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42D" w:rsidRDefault="00EE542D" w:rsidP="00E71FC3">
      <w:pPr>
        <w:spacing w:after="0" w:line="240" w:lineRule="auto"/>
      </w:pPr>
      <w:r>
        <w:separator/>
      </w:r>
    </w:p>
  </w:footnote>
  <w:footnote w:type="continuationSeparator" w:id="0">
    <w:p w:rsidR="00EE542D" w:rsidRDefault="00EE54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42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542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05B6"/>
  <w15:chartTrackingRefBased/>
  <w15:docId w15:val="{119ED7EF-4CF7-4F69-A5ED-45A73D3C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2017-03-13T16:17:00Z</dcterms:created>
  <dcterms:modified xsi:type="dcterms:W3CDTF">2017-03-13T16:21:00Z</dcterms:modified>
</cp:coreProperties>
</file>