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LONGE</w:t>
      </w:r>
      <w:r>
        <w:rPr>
          <w:rFonts w:ascii="Times New Roman" w:hAnsi="Times New Roman" w:cs="Times New Roman"/>
          <w:sz w:val="24"/>
          <w:szCs w:val="24"/>
        </w:rPr>
        <w:t xml:space="preserve">     (fl.1434)</w:t>
      </w: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Jul.1434</w:t>
      </w:r>
      <w:r>
        <w:rPr>
          <w:rFonts w:ascii="Times New Roman" w:hAnsi="Times New Roman" w:cs="Times New Roman"/>
          <w:sz w:val="24"/>
          <w:szCs w:val="24"/>
        </w:rPr>
        <w:tab/>
        <w:t>He was a juror in the inquisition post mortem held in Winchester into lands</w:t>
      </w: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Edith Plomley(q.v.).</w:t>
      </w: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9005F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ref.eCIPM 24-146)</w:t>
      </w: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A510B" w:rsidRDefault="00EA510B" w:rsidP="00EA510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10B" w:rsidRDefault="00EA510B" w:rsidP="00564E3C">
      <w:pPr>
        <w:spacing w:after="0" w:line="240" w:lineRule="auto"/>
      </w:pPr>
      <w:r>
        <w:separator/>
      </w:r>
    </w:p>
  </w:endnote>
  <w:endnote w:type="continuationSeparator" w:id="0">
    <w:p w:rsidR="00EA510B" w:rsidRDefault="00EA510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A510B">
      <w:rPr>
        <w:rFonts w:ascii="Times New Roman" w:hAnsi="Times New Roman" w:cs="Times New Roman"/>
        <w:noProof/>
        <w:sz w:val="24"/>
        <w:szCs w:val="24"/>
      </w:rPr>
      <w:t>20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10B" w:rsidRDefault="00EA510B" w:rsidP="00564E3C">
      <w:pPr>
        <w:spacing w:after="0" w:line="240" w:lineRule="auto"/>
      </w:pPr>
      <w:r>
        <w:separator/>
      </w:r>
    </w:p>
  </w:footnote>
  <w:footnote w:type="continuationSeparator" w:id="0">
    <w:p w:rsidR="00EA510B" w:rsidRDefault="00EA510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10B"/>
    <w:rsid w:val="00372DC6"/>
    <w:rsid w:val="00564E3C"/>
    <w:rsid w:val="0064591D"/>
    <w:rsid w:val="00DD5B8A"/>
    <w:rsid w:val="00EA510B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D4D719-2ED0-407B-B2C0-C2DBDA6D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EA510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2016-01-20T19:55:00Z</dcterms:created>
  <dcterms:modified xsi:type="dcterms:W3CDTF">2016-01-20T19:55:00Z</dcterms:modified>
</cp:coreProperties>
</file>