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  (fl.1425-6)</w:t>
      </w: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Prior of North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Ferriby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  <w:proofErr w:type="gramEnd"/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</w:t>
      </w:r>
      <w:proofErr w:type="gramStart"/>
      <w:r>
        <w:rPr>
          <w:rFonts w:ascii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hAnsi="Times New Roman" w:cs="Times New Roman"/>
          <w:sz w:val="24"/>
          <w:szCs w:val="24"/>
        </w:rPr>
        <w:t>.  (V.C.H. Yorkshire vol.III p.242)</w:t>
      </w:r>
    </w:p>
    <w:p w:rsidR="00CF2857" w:rsidRDefault="00CF2857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</w:t>
      </w:r>
      <w:proofErr w:type="gramStart"/>
      <w:r>
        <w:rPr>
          <w:rFonts w:ascii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again.  (ibid.)</w:t>
      </w: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2FA" w:rsidRPr="00E442FA" w:rsidRDefault="00E442FA" w:rsidP="00E44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E442FA" w:rsidRPr="00E442FA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42FA"/>
    <w:rsid w:val="00CF2857"/>
    <w:rsid w:val="00E442FA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42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2011-10-05T21:02:00Z</dcterms:created>
  <dcterms:modified xsi:type="dcterms:W3CDTF">2011-10-05T21:04:00Z</dcterms:modified>
</cp:coreProperties>
</file>