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    (d.1472)</w:t>
      </w:r>
    </w:p>
    <w:p w:rsid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Freethorpe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:rsid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>Administration of his goods and possessions was granted.</w:t>
      </w:r>
    </w:p>
    <w:p w:rsid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(</w:t>
      </w:r>
      <w:hyperlink r:id="rId4" w:history="1">
        <w:r w:rsidRPr="00665C2E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NCC, will register,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Jekkys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, 40)</w:t>
      </w:r>
    </w:p>
    <w:p w:rsid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C11EE2" w:rsidRPr="007825E3" w:rsidRDefault="007825E3" w:rsidP="00782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17 August 2011</w:t>
      </w:r>
    </w:p>
    <w:sectPr w:rsidR="00C11EE2" w:rsidRPr="007825E3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825E3"/>
    <w:rsid w:val="003563F0"/>
    <w:rsid w:val="007825E3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25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2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2</cp:revision>
  <dcterms:created xsi:type="dcterms:W3CDTF">2011-08-17T20:46:00Z</dcterms:created>
  <dcterms:modified xsi:type="dcterms:W3CDTF">2011-08-17T20:49:00Z</dcterms:modified>
</cp:coreProperties>
</file>