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BC404" w14:textId="77777777" w:rsidR="00F800EF" w:rsidRDefault="00F800EF" w:rsidP="00F800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GRENE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d.1421)</w:t>
      </w:r>
    </w:p>
    <w:p w14:paraId="6F1BBC92" w14:textId="77777777" w:rsidR="00F800EF" w:rsidRDefault="00F800EF" w:rsidP="00F800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Rector of Haseley.</w:t>
      </w:r>
    </w:p>
    <w:p w14:paraId="161E1531" w14:textId="77777777" w:rsidR="00F800EF" w:rsidRDefault="00F800EF" w:rsidP="00F800EF">
      <w:pPr>
        <w:pStyle w:val="NoSpacing"/>
        <w:rPr>
          <w:rFonts w:cs="Times New Roman"/>
          <w:szCs w:val="24"/>
        </w:rPr>
      </w:pPr>
    </w:p>
    <w:p w14:paraId="1B1FBEDC" w14:textId="77777777" w:rsidR="00F800EF" w:rsidRDefault="00F800EF" w:rsidP="00F800EF">
      <w:pPr>
        <w:pStyle w:val="NoSpacing"/>
        <w:rPr>
          <w:rFonts w:cs="Times New Roman"/>
          <w:szCs w:val="24"/>
        </w:rPr>
      </w:pPr>
    </w:p>
    <w:p w14:paraId="2BE9D165" w14:textId="77777777" w:rsidR="00F800EF" w:rsidRDefault="00F800EF" w:rsidP="00F800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Oct.1410</w:t>
      </w:r>
      <w:r>
        <w:rPr>
          <w:rFonts w:cs="Times New Roman"/>
          <w:szCs w:val="24"/>
        </w:rPr>
        <w:tab/>
        <w:t>He exchanged with John Clerc, Vicar of Mansel Gamage(q.v.).</w:t>
      </w:r>
    </w:p>
    <w:p w14:paraId="4412D081" w14:textId="77777777" w:rsidR="00F800EF" w:rsidRPr="002755C0" w:rsidRDefault="00F800EF" w:rsidP="00F800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643B8">
          <w:rPr>
            <w:rStyle w:val="Hyperlink"/>
            <w:rFonts w:cs="Times New Roman"/>
            <w:szCs w:val="24"/>
          </w:rPr>
          <w:t>www.melocki.org.uk/diocese/ManselGamage.html</w:t>
        </w:r>
      </w:hyperlink>
      <w:r>
        <w:rPr>
          <w:rFonts w:cs="Times New Roman"/>
          <w:szCs w:val="24"/>
        </w:rPr>
        <w:t>)</w:t>
      </w:r>
    </w:p>
    <w:p w14:paraId="20D5C346" w14:textId="77777777" w:rsidR="00F800EF" w:rsidRDefault="00F800EF" w:rsidP="00F800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Nov.1421</w:t>
      </w:r>
      <w:r>
        <w:rPr>
          <w:rFonts w:cs="Times New Roman"/>
          <w:szCs w:val="24"/>
        </w:rPr>
        <w:tab/>
        <w:t>He died before this time.   (ibid.)</w:t>
      </w:r>
    </w:p>
    <w:p w14:paraId="43B1292C" w14:textId="77777777" w:rsidR="00F800EF" w:rsidRDefault="00F800EF" w:rsidP="00F800EF">
      <w:pPr>
        <w:pStyle w:val="NoSpacing"/>
        <w:rPr>
          <w:rFonts w:cs="Times New Roman"/>
          <w:szCs w:val="24"/>
        </w:rPr>
      </w:pPr>
    </w:p>
    <w:p w14:paraId="7E856787" w14:textId="77777777" w:rsidR="00F800EF" w:rsidRDefault="00F800EF" w:rsidP="00F800EF">
      <w:pPr>
        <w:pStyle w:val="NoSpacing"/>
        <w:rPr>
          <w:rFonts w:cs="Times New Roman"/>
          <w:szCs w:val="24"/>
        </w:rPr>
      </w:pPr>
    </w:p>
    <w:p w14:paraId="5EE1B17C" w14:textId="77777777" w:rsidR="00F800EF" w:rsidRDefault="00F800EF" w:rsidP="00F800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February 2025</w:t>
      </w:r>
    </w:p>
    <w:p w14:paraId="6D4A9D1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20279" w14:textId="77777777" w:rsidR="00F800EF" w:rsidRDefault="00F800EF" w:rsidP="009139A6">
      <w:r>
        <w:separator/>
      </w:r>
    </w:p>
  </w:endnote>
  <w:endnote w:type="continuationSeparator" w:id="0">
    <w:p w14:paraId="6C5FA663" w14:textId="77777777" w:rsidR="00F800EF" w:rsidRDefault="00F800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5C8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1ED0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C3D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B85BC" w14:textId="77777777" w:rsidR="00F800EF" w:rsidRDefault="00F800EF" w:rsidP="009139A6">
      <w:r>
        <w:separator/>
      </w:r>
    </w:p>
  </w:footnote>
  <w:footnote w:type="continuationSeparator" w:id="0">
    <w:p w14:paraId="79C54192" w14:textId="77777777" w:rsidR="00F800EF" w:rsidRDefault="00F800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2C8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E7D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BE3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0EF"/>
    <w:rsid w:val="000666E0"/>
    <w:rsid w:val="001F7884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8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4C814"/>
  <w15:chartTrackingRefBased/>
  <w15:docId w15:val="{8E002111-486B-4879-8D32-D954A856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800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ManselGamage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2025-02-20T21:24:00Z</dcterms:created>
  <dcterms:modified xsi:type="dcterms:W3CDTF">2025-02-20T21:24:00Z</dcterms:modified>
</cp:coreProperties>
</file>