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C7E8E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012FD60C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333046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FC3D2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Thomas, who predeceased her.     </w:t>
      </w:r>
    </w:p>
    <w:p w14:paraId="26984531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(“Life and Death: A Study of the Wills and Testaments of Men and Women</w:t>
      </w:r>
    </w:p>
    <w:p w14:paraId="3AA32844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</w:t>
      </w:r>
    </w:p>
    <w:p w14:paraId="204C8CC6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A. Wood.  Ph.D. Thesis, Royal Holloway, University of London, 2012, p.67)</w:t>
      </w:r>
    </w:p>
    <w:p w14:paraId="33C15A21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B616F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C590B4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Oct.1407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6E4D17C3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</w:t>
      </w:r>
      <w:r>
        <w:rPr>
          <w:rFonts w:ascii="Times New Roman" w:hAnsi="Times New Roman" w:cs="Times New Roman"/>
          <w:sz w:val="24"/>
          <w:szCs w:val="24"/>
        </w:rPr>
        <w:tab/>
        <w:t>Probate of her Wil.   (ibid.)</w:t>
      </w:r>
    </w:p>
    <w:p w14:paraId="1E9593E5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77C00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CF49A" w14:textId="77777777" w:rsidR="003E2376" w:rsidRDefault="003E2376" w:rsidP="003E2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2021</w:t>
      </w:r>
    </w:p>
    <w:p w14:paraId="3954CA8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619DC" w14:textId="77777777" w:rsidR="003E2376" w:rsidRDefault="003E2376" w:rsidP="009139A6">
      <w:r>
        <w:separator/>
      </w:r>
    </w:p>
  </w:endnote>
  <w:endnote w:type="continuationSeparator" w:id="0">
    <w:p w14:paraId="6491AD25" w14:textId="77777777" w:rsidR="003E2376" w:rsidRDefault="003E23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5C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3B4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40A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A6BA6" w14:textId="77777777" w:rsidR="003E2376" w:rsidRDefault="003E2376" w:rsidP="009139A6">
      <w:r>
        <w:separator/>
      </w:r>
    </w:p>
  </w:footnote>
  <w:footnote w:type="continuationSeparator" w:id="0">
    <w:p w14:paraId="4B0CB2B8" w14:textId="77777777" w:rsidR="003E2376" w:rsidRDefault="003E23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192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06C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4E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76"/>
    <w:rsid w:val="000666E0"/>
    <w:rsid w:val="002510B7"/>
    <w:rsid w:val="003E237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7D58A"/>
  <w15:chartTrackingRefBased/>
  <w15:docId w15:val="{60C12FBD-4203-4854-8AAE-355B213D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2021-05-01T21:19:00Z</dcterms:created>
  <dcterms:modified xsi:type="dcterms:W3CDTF">2021-05-01T21:20:00Z</dcterms:modified>
</cp:coreProperties>
</file>