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d.1418-9)</w:t>
      </w: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had a son, John (</w:t>
      </w:r>
      <w:proofErr w:type="spellStart"/>
      <w:r>
        <w:rPr>
          <w:rFonts w:ascii="Times New Roman" w:hAnsi="Times New Roman" w:cs="Times New Roman"/>
          <w:sz w:val="24"/>
          <w:szCs w:val="24"/>
        </w:rPr>
        <w:t>o.v.p</w:t>
      </w:r>
      <w:proofErr w:type="spellEnd"/>
      <w:r>
        <w:rPr>
          <w:rFonts w:ascii="Times New Roman" w:hAnsi="Times New Roman" w:cs="Times New Roman"/>
          <w:sz w:val="24"/>
          <w:szCs w:val="24"/>
        </w:rPr>
        <w:t>.), whose son, also John, was his heir.</w:t>
      </w: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21-143)</w:t>
      </w: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An inquisition post mortem was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 into his</w:t>
      </w: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holdings.  (ibid.)</w:t>
      </w: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3FA" w:rsidRPr="00BC13FA" w:rsidRDefault="00BC13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BC13FA" w:rsidRPr="00BC13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3FA" w:rsidRDefault="00BC13FA" w:rsidP="00564E3C">
      <w:pPr>
        <w:spacing w:after="0" w:line="240" w:lineRule="auto"/>
      </w:pPr>
      <w:r>
        <w:separator/>
      </w:r>
    </w:p>
  </w:endnote>
  <w:endnote w:type="continuationSeparator" w:id="0">
    <w:p w:rsidR="00BC13FA" w:rsidRDefault="00BC13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C13FA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3FA" w:rsidRDefault="00BC13FA" w:rsidP="00564E3C">
      <w:pPr>
        <w:spacing w:after="0" w:line="240" w:lineRule="auto"/>
      </w:pPr>
      <w:r>
        <w:separator/>
      </w:r>
    </w:p>
  </w:footnote>
  <w:footnote w:type="continuationSeparator" w:id="0">
    <w:p w:rsidR="00BC13FA" w:rsidRDefault="00BC13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3FA"/>
    <w:rsid w:val="00372DC6"/>
    <w:rsid w:val="00564E3C"/>
    <w:rsid w:val="0064591D"/>
    <w:rsid w:val="00BC13F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70D"/>
  <w15:chartTrackingRefBased/>
  <w15:docId w15:val="{F335195C-C422-40FB-9EEF-12B44143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2015-12-13T21:02:00Z</dcterms:created>
  <dcterms:modified xsi:type="dcterms:W3CDTF">2015-12-13T21:08:00Z</dcterms:modified>
</cp:coreProperties>
</file>