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A9A" w:rsidRDefault="00174A9A" w:rsidP="00174A9A">
      <w:pPr>
        <w:pStyle w:val="NoSpacing"/>
      </w:pPr>
      <w:r>
        <w:rPr>
          <w:u w:val="single"/>
        </w:rPr>
        <w:t>Roger BERDEFELDE</w:t>
      </w:r>
      <w:r>
        <w:t xml:space="preserve">        (fl.1402-3)</w:t>
      </w:r>
    </w:p>
    <w:p w:rsidR="00174A9A" w:rsidRDefault="00174A9A" w:rsidP="00174A9A">
      <w:pPr>
        <w:pStyle w:val="NoSpacing"/>
      </w:pPr>
    </w:p>
    <w:p w:rsidR="00174A9A" w:rsidRDefault="00174A9A" w:rsidP="00174A9A">
      <w:pPr>
        <w:pStyle w:val="NoSpacing"/>
      </w:pPr>
    </w:p>
    <w:p w:rsidR="00174A9A" w:rsidRDefault="00174A9A" w:rsidP="00174A9A">
      <w:pPr>
        <w:pStyle w:val="NoSpacing"/>
      </w:pPr>
      <w:r>
        <w:t>= Joan(q.v.)        (</w:t>
      </w:r>
      <w:hyperlink r:id="rId7" w:history="1">
        <w:r w:rsidRPr="00F13911">
          <w:rPr>
            <w:rStyle w:val="Hyperlink"/>
          </w:rPr>
          <w:t>www.british-history.ac.uk/report.asp?compid=65815</w:t>
        </w:r>
      </w:hyperlink>
      <w:r>
        <w:t>)</w:t>
      </w:r>
    </w:p>
    <w:p w:rsidR="00174A9A" w:rsidRDefault="00174A9A" w:rsidP="00174A9A">
      <w:pPr>
        <w:pStyle w:val="NoSpacing"/>
      </w:pPr>
    </w:p>
    <w:p w:rsidR="00174A9A" w:rsidRDefault="00174A9A" w:rsidP="00174A9A">
      <w:pPr>
        <w:pStyle w:val="NoSpacing"/>
      </w:pPr>
    </w:p>
    <w:p w:rsidR="00174A9A" w:rsidRDefault="00174A9A" w:rsidP="00174A9A">
      <w:pPr>
        <w:pStyle w:val="NoSpacing"/>
      </w:pPr>
      <w:r>
        <w:t xml:space="preserve">         1402-3</w:t>
      </w:r>
      <w:r>
        <w:tab/>
        <w:t>Settlement of the action taken against them by Richard Wakehurst(q.v.) and</w:t>
      </w:r>
    </w:p>
    <w:p w:rsidR="00174A9A" w:rsidRDefault="00174A9A" w:rsidP="00174A9A">
      <w:pPr>
        <w:pStyle w:val="NoSpacing"/>
        <w:ind w:left="1440"/>
      </w:pPr>
      <w:r>
        <w:t>William atte Mille(q.v.) over 40 acres of land, 2 acres of meadow and 4 acres of wood in East Grinstead and Horsted Keynes, Sussex.   (ibid.)</w:t>
      </w:r>
    </w:p>
    <w:p w:rsidR="00174A9A" w:rsidRDefault="00174A9A" w:rsidP="00174A9A">
      <w:pPr>
        <w:pStyle w:val="NoSpacing"/>
      </w:pPr>
    </w:p>
    <w:p w:rsidR="00174A9A" w:rsidRDefault="00174A9A" w:rsidP="00174A9A">
      <w:pPr>
        <w:pStyle w:val="NoSpacing"/>
      </w:pPr>
    </w:p>
    <w:p w:rsidR="00BA4020" w:rsidRPr="00186E49" w:rsidRDefault="00174A9A" w:rsidP="00174A9A">
      <w:pPr>
        <w:pStyle w:val="NoSpacing"/>
      </w:pPr>
      <w:r>
        <w:t xml:space="preserve">  3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A9A" w:rsidRDefault="00174A9A" w:rsidP="00552EBA">
      <w:r>
        <w:separator/>
      </w:r>
    </w:p>
  </w:endnote>
  <w:endnote w:type="continuationSeparator" w:id="0">
    <w:p w:rsidR="00174A9A" w:rsidRDefault="00174A9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74A9A">
      <w:rPr>
        <w:noProof/>
      </w:rPr>
      <w:t>14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A9A" w:rsidRDefault="00174A9A" w:rsidP="00552EBA">
      <w:r>
        <w:separator/>
      </w:r>
    </w:p>
  </w:footnote>
  <w:footnote w:type="continuationSeparator" w:id="0">
    <w:p w:rsidR="00174A9A" w:rsidRDefault="00174A9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4A9A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581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2013-01-14T21:57:00Z</dcterms:created>
  <dcterms:modified xsi:type="dcterms:W3CDTF">2013-01-14T21:57:00Z</dcterms:modified>
</cp:coreProperties>
</file>