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EF307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ARTON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36AE1688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Parson of Borrow next </w:t>
      </w:r>
      <w:proofErr w:type="spellStart"/>
      <w:r>
        <w:rPr>
          <w:rStyle w:val="s1"/>
        </w:rPr>
        <w:t>Aylesham</w:t>
      </w:r>
      <w:proofErr w:type="spellEnd"/>
      <w:r>
        <w:rPr>
          <w:rStyle w:val="s1"/>
        </w:rPr>
        <w:t>, Norfolk.</w:t>
      </w:r>
    </w:p>
    <w:p w14:paraId="4FA321B8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</w:p>
    <w:p w14:paraId="4051602B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</w:p>
    <w:p w14:paraId="0CE320AD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0069322B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1</w:t>
      </w:r>
      <w:r>
        <w:rPr>
          <w:rStyle w:val="s1"/>
        </w:rPr>
        <w:t>97)</w:t>
      </w:r>
    </w:p>
    <w:p w14:paraId="5EB63A44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</w:p>
    <w:p w14:paraId="0FE627B6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</w:p>
    <w:p w14:paraId="0B8E2D4A" w14:textId="77777777" w:rsidR="001A2B20" w:rsidRDefault="001A2B20" w:rsidP="001A2B2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17 September 2021</w:t>
      </w:r>
    </w:p>
    <w:p w14:paraId="6D13A0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51C20" w14:textId="77777777" w:rsidR="001A2B20" w:rsidRDefault="001A2B20" w:rsidP="009139A6">
      <w:r>
        <w:separator/>
      </w:r>
    </w:p>
  </w:endnote>
  <w:endnote w:type="continuationSeparator" w:id="0">
    <w:p w14:paraId="3970D63B" w14:textId="77777777" w:rsidR="001A2B20" w:rsidRDefault="001A2B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EEC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FE3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905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065A2" w14:textId="77777777" w:rsidR="001A2B20" w:rsidRDefault="001A2B20" w:rsidP="009139A6">
      <w:r>
        <w:separator/>
      </w:r>
    </w:p>
  </w:footnote>
  <w:footnote w:type="continuationSeparator" w:id="0">
    <w:p w14:paraId="05A6F516" w14:textId="77777777" w:rsidR="001A2B20" w:rsidRDefault="001A2B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A7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68F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46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20"/>
    <w:rsid w:val="000666E0"/>
    <w:rsid w:val="001A2B2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3C15A"/>
  <w15:chartTrackingRefBased/>
  <w15:docId w15:val="{4E13E28A-E045-4B73-AB2C-4D51BF92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A2B20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A2B2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2021-10-07T09:39:00Z</dcterms:created>
  <dcterms:modified xsi:type="dcterms:W3CDTF">2021-10-07T09:39:00Z</dcterms:modified>
</cp:coreProperties>
</file>